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8D" w:rsidRPr="007041F4" w:rsidRDefault="00EB118D" w:rsidP="00E16C06">
      <w:pPr>
        <w:pStyle w:val="a3"/>
        <w:jc w:val="right"/>
        <w:rPr>
          <w:b/>
          <w:i/>
          <w:color w:val="000000"/>
          <w:sz w:val="27"/>
          <w:szCs w:val="27"/>
        </w:rPr>
      </w:pPr>
      <w:bookmarkStart w:id="0" w:name="_GoBack"/>
      <w:bookmarkEnd w:id="0"/>
      <w:r w:rsidRPr="007041F4">
        <w:rPr>
          <w:b/>
          <w:i/>
          <w:color w:val="000000"/>
          <w:sz w:val="27"/>
          <w:szCs w:val="27"/>
        </w:rPr>
        <w:t>Образец оформления</w:t>
      </w:r>
    </w:p>
    <w:p w:rsidR="00EB118D" w:rsidRPr="00DC3CA8" w:rsidRDefault="00EB118D" w:rsidP="00EB118D">
      <w:pPr>
        <w:pStyle w:val="a3"/>
        <w:rPr>
          <w:color w:val="000000"/>
        </w:rPr>
      </w:pPr>
      <w:r w:rsidRPr="00DC3CA8">
        <w:rPr>
          <w:color w:val="000000"/>
        </w:rPr>
        <w:t>УДК 338.2</w:t>
      </w:r>
    </w:p>
    <w:p w:rsidR="00EB118D" w:rsidRPr="00DC3CA8" w:rsidRDefault="008A41F9" w:rsidP="00E16C06">
      <w:pPr>
        <w:pStyle w:val="a3"/>
        <w:jc w:val="center"/>
        <w:rPr>
          <w:color w:val="000000"/>
        </w:rPr>
      </w:pPr>
      <w:r w:rsidRPr="00DC3CA8">
        <w:rPr>
          <w:color w:val="000000"/>
        </w:rPr>
        <w:t>ПРОБЛЕМЫ СТРАХОВАНИЯ РИСКОВ В СТРОИТЕЛЬСТВЕ</w:t>
      </w:r>
    </w:p>
    <w:p w:rsidR="00EB118D" w:rsidRPr="00DC3CA8" w:rsidRDefault="008A41F9" w:rsidP="00E16C06">
      <w:pPr>
        <w:pStyle w:val="a3"/>
        <w:spacing w:before="0" w:beforeAutospacing="0" w:after="0" w:afterAutospacing="0"/>
        <w:jc w:val="center"/>
        <w:rPr>
          <w:color w:val="000000"/>
        </w:rPr>
      </w:pPr>
      <w:proofErr w:type="spellStart"/>
      <w:r w:rsidRPr="00DC3CA8">
        <w:rPr>
          <w:color w:val="000000"/>
        </w:rPr>
        <w:t>Муртазова</w:t>
      </w:r>
      <w:proofErr w:type="spellEnd"/>
      <w:r w:rsidRPr="00DC3CA8">
        <w:rPr>
          <w:color w:val="000000"/>
        </w:rPr>
        <w:t xml:space="preserve"> </w:t>
      </w:r>
      <w:proofErr w:type="spellStart"/>
      <w:r w:rsidRPr="00DC3CA8">
        <w:rPr>
          <w:color w:val="000000"/>
        </w:rPr>
        <w:t>Хеда</w:t>
      </w:r>
      <w:proofErr w:type="spellEnd"/>
      <w:r w:rsidRPr="00DC3CA8">
        <w:rPr>
          <w:color w:val="000000"/>
        </w:rPr>
        <w:t xml:space="preserve"> Магомед-</w:t>
      </w:r>
      <w:proofErr w:type="spellStart"/>
      <w:r w:rsidRPr="00DC3CA8">
        <w:rPr>
          <w:color w:val="000000"/>
        </w:rPr>
        <w:t>Салиховна</w:t>
      </w:r>
      <w:proofErr w:type="spellEnd"/>
    </w:p>
    <w:p w:rsidR="00EB118D" w:rsidRPr="00DC3CA8" w:rsidRDefault="00EB118D" w:rsidP="00E16C06">
      <w:pPr>
        <w:pStyle w:val="a3"/>
        <w:spacing w:before="0" w:beforeAutospacing="0" w:after="0" w:afterAutospacing="0"/>
        <w:jc w:val="center"/>
        <w:rPr>
          <w:color w:val="000000"/>
        </w:rPr>
      </w:pPr>
      <w:r w:rsidRPr="00DC3CA8">
        <w:rPr>
          <w:color w:val="000000"/>
        </w:rPr>
        <w:t>к.э.н., доцент кафедры «</w:t>
      </w:r>
      <w:r w:rsidR="008A41F9" w:rsidRPr="00DC3CA8">
        <w:rPr>
          <w:color w:val="000000"/>
        </w:rPr>
        <w:t>Экономика и управление в строительстве</w:t>
      </w:r>
      <w:r w:rsidRPr="00DC3CA8">
        <w:rPr>
          <w:color w:val="000000"/>
        </w:rPr>
        <w:t>»</w:t>
      </w:r>
    </w:p>
    <w:p w:rsidR="00EB118D" w:rsidRPr="00DC3CA8" w:rsidRDefault="008A41F9" w:rsidP="00E16C06">
      <w:pPr>
        <w:pStyle w:val="a3"/>
        <w:spacing w:before="0" w:beforeAutospacing="0" w:after="0" w:afterAutospacing="0"/>
        <w:jc w:val="center"/>
        <w:rPr>
          <w:color w:val="000000"/>
        </w:rPr>
      </w:pPr>
      <w:r w:rsidRPr="00DC3CA8">
        <w:rPr>
          <w:color w:val="000000"/>
        </w:rPr>
        <w:t>Грозненский государственный нефтяной технический университет им. акад. М.Д. Миллионщикова</w:t>
      </w:r>
      <w:r w:rsidR="00EB118D" w:rsidRPr="00DC3CA8">
        <w:rPr>
          <w:color w:val="000000"/>
        </w:rPr>
        <w:t xml:space="preserve">, Россия, г. </w:t>
      </w:r>
      <w:r w:rsidRPr="00DC3CA8">
        <w:rPr>
          <w:color w:val="000000"/>
        </w:rPr>
        <w:t>Грозный</w:t>
      </w:r>
    </w:p>
    <w:p w:rsidR="00EB118D" w:rsidRPr="00DC3CA8" w:rsidRDefault="00EB118D" w:rsidP="00E16C06">
      <w:pPr>
        <w:pStyle w:val="a3"/>
        <w:spacing w:before="0" w:beforeAutospacing="0" w:after="0" w:afterAutospacing="0"/>
        <w:jc w:val="center"/>
        <w:rPr>
          <w:color w:val="000000"/>
        </w:rPr>
      </w:pPr>
      <w:r w:rsidRPr="00DC3CA8">
        <w:rPr>
          <w:color w:val="000000"/>
          <w:lang w:val="en-US"/>
        </w:rPr>
        <w:t>E</w:t>
      </w:r>
      <w:r w:rsidRPr="00DC3CA8">
        <w:rPr>
          <w:color w:val="000000"/>
        </w:rPr>
        <w:t>-</w:t>
      </w:r>
      <w:r w:rsidRPr="00DC3CA8">
        <w:rPr>
          <w:color w:val="000000"/>
          <w:lang w:val="en-US"/>
        </w:rPr>
        <w:t>mail</w:t>
      </w:r>
      <w:r w:rsidRPr="00DC3CA8">
        <w:rPr>
          <w:color w:val="000000"/>
        </w:rPr>
        <w:t xml:space="preserve">: </w:t>
      </w:r>
      <w:hyperlink r:id="rId5" w:history="1">
        <w:r w:rsidR="00E16C06" w:rsidRPr="00DC3CA8">
          <w:rPr>
            <w:rStyle w:val="a4"/>
            <w:lang w:val="en-US"/>
          </w:rPr>
          <w:t>fu</w:t>
        </w:r>
        <w:r w:rsidR="00E16C06" w:rsidRPr="00DC3CA8">
          <w:rPr>
            <w:rStyle w:val="a4"/>
          </w:rPr>
          <w:t>.</w:t>
        </w:r>
        <w:r w:rsidR="00E16C06" w:rsidRPr="00DC3CA8">
          <w:rPr>
            <w:rStyle w:val="a4"/>
            <w:lang w:val="en-US"/>
          </w:rPr>
          <w:t>ggni</w:t>
        </w:r>
        <w:r w:rsidR="00E16C06" w:rsidRPr="00DC3CA8">
          <w:rPr>
            <w:rStyle w:val="a4"/>
          </w:rPr>
          <w:t>@</w:t>
        </w:r>
        <w:r w:rsidR="00E16C06" w:rsidRPr="00DC3CA8">
          <w:rPr>
            <w:rStyle w:val="a4"/>
            <w:lang w:val="en-US"/>
          </w:rPr>
          <w:t>mail</w:t>
        </w:r>
        <w:r w:rsidR="00E16C06" w:rsidRPr="00DC3CA8">
          <w:rPr>
            <w:rStyle w:val="a4"/>
          </w:rPr>
          <w:t>.</w:t>
        </w:r>
        <w:proofErr w:type="spellStart"/>
        <w:r w:rsidR="00E16C06" w:rsidRPr="00DC3CA8">
          <w:rPr>
            <w:rStyle w:val="a4"/>
            <w:lang w:val="en-US"/>
          </w:rPr>
          <w:t>ru</w:t>
        </w:r>
        <w:proofErr w:type="spellEnd"/>
      </w:hyperlink>
    </w:p>
    <w:p w:rsidR="00E16C06" w:rsidRPr="00DC3CA8" w:rsidRDefault="00E16C06" w:rsidP="00E16C06">
      <w:pPr>
        <w:pStyle w:val="a3"/>
        <w:spacing w:before="0" w:beforeAutospacing="0" w:after="0" w:afterAutospacing="0"/>
        <w:jc w:val="center"/>
        <w:rPr>
          <w:color w:val="000000"/>
        </w:rPr>
      </w:pPr>
    </w:p>
    <w:p w:rsidR="00EB118D" w:rsidRPr="00DC3CA8" w:rsidRDefault="008A41F9" w:rsidP="00E16C06">
      <w:pPr>
        <w:pStyle w:val="a3"/>
        <w:spacing w:before="0" w:beforeAutospacing="0" w:after="0" w:afterAutospacing="0"/>
        <w:jc w:val="center"/>
        <w:rPr>
          <w:color w:val="000000"/>
        </w:rPr>
      </w:pPr>
      <w:proofErr w:type="spellStart"/>
      <w:r w:rsidRPr="00DC3CA8">
        <w:rPr>
          <w:color w:val="000000"/>
        </w:rPr>
        <w:t>Арсемикова</w:t>
      </w:r>
      <w:proofErr w:type="spellEnd"/>
      <w:r w:rsidRPr="00DC3CA8">
        <w:rPr>
          <w:color w:val="000000"/>
        </w:rPr>
        <w:t xml:space="preserve"> София Магомедовна</w:t>
      </w:r>
    </w:p>
    <w:p w:rsidR="00EB118D" w:rsidRPr="00DC3CA8" w:rsidRDefault="00EB118D" w:rsidP="00E16C06">
      <w:pPr>
        <w:pStyle w:val="a3"/>
        <w:spacing w:before="0" w:beforeAutospacing="0" w:after="0" w:afterAutospacing="0"/>
        <w:jc w:val="center"/>
        <w:rPr>
          <w:color w:val="000000"/>
        </w:rPr>
      </w:pPr>
      <w:r w:rsidRPr="00DC3CA8">
        <w:rPr>
          <w:color w:val="000000"/>
        </w:rPr>
        <w:t>студент кафедры «</w:t>
      </w:r>
      <w:r w:rsidR="008A41F9" w:rsidRPr="00DC3CA8">
        <w:rPr>
          <w:color w:val="000000"/>
        </w:rPr>
        <w:t>Экономика и управление в строительстве</w:t>
      </w:r>
      <w:r w:rsidRPr="00DC3CA8">
        <w:rPr>
          <w:color w:val="000000"/>
        </w:rPr>
        <w:t>»</w:t>
      </w:r>
    </w:p>
    <w:p w:rsidR="008A41F9" w:rsidRPr="00DC3CA8" w:rsidRDefault="008A41F9" w:rsidP="00E16C06">
      <w:pPr>
        <w:pStyle w:val="a3"/>
        <w:spacing w:before="0" w:beforeAutospacing="0" w:after="0" w:afterAutospacing="0"/>
        <w:jc w:val="center"/>
        <w:rPr>
          <w:color w:val="000000"/>
        </w:rPr>
      </w:pPr>
      <w:r w:rsidRPr="00DC3CA8">
        <w:rPr>
          <w:color w:val="000000"/>
        </w:rPr>
        <w:t>Грозненский государственный нефтяной технический университет им. акад. М.Д. Миллионщикова, Россия, г. Грозный</w:t>
      </w:r>
    </w:p>
    <w:p w:rsidR="00EB118D" w:rsidRPr="00DC3CA8" w:rsidRDefault="00EB118D" w:rsidP="00E16C06">
      <w:pPr>
        <w:pStyle w:val="a3"/>
        <w:spacing w:before="0" w:beforeAutospacing="0" w:after="0" w:afterAutospacing="0"/>
        <w:jc w:val="center"/>
        <w:rPr>
          <w:color w:val="000000"/>
        </w:rPr>
      </w:pPr>
      <w:r w:rsidRPr="00DC3CA8">
        <w:rPr>
          <w:color w:val="000000"/>
          <w:lang w:val="en-US"/>
        </w:rPr>
        <w:t>E</w:t>
      </w:r>
      <w:r w:rsidRPr="00DC3CA8">
        <w:rPr>
          <w:color w:val="000000"/>
        </w:rPr>
        <w:t>-</w:t>
      </w:r>
      <w:r w:rsidRPr="00DC3CA8">
        <w:rPr>
          <w:color w:val="000000"/>
          <w:lang w:val="en-US"/>
        </w:rPr>
        <w:t>mail</w:t>
      </w:r>
      <w:r w:rsidRPr="00DC3CA8">
        <w:rPr>
          <w:color w:val="000000"/>
        </w:rPr>
        <w:t xml:space="preserve">: </w:t>
      </w:r>
      <w:hyperlink r:id="rId6" w:history="1">
        <w:r w:rsidR="00E16C06" w:rsidRPr="00DC3CA8">
          <w:rPr>
            <w:rStyle w:val="a4"/>
            <w:lang w:val="en-US"/>
          </w:rPr>
          <w:t>arsemikova</w:t>
        </w:r>
        <w:r w:rsidR="00E16C06" w:rsidRPr="00DC3CA8">
          <w:rPr>
            <w:rStyle w:val="a4"/>
          </w:rPr>
          <w:t>@</w:t>
        </w:r>
        <w:r w:rsidR="00E16C06" w:rsidRPr="00DC3CA8">
          <w:rPr>
            <w:rStyle w:val="a4"/>
            <w:lang w:val="en-US"/>
          </w:rPr>
          <w:t>yandex</w:t>
        </w:r>
        <w:r w:rsidR="00E16C06" w:rsidRPr="00DC3CA8">
          <w:rPr>
            <w:rStyle w:val="a4"/>
          </w:rPr>
          <w:t>.</w:t>
        </w:r>
        <w:r w:rsidR="00E16C06" w:rsidRPr="00DC3CA8">
          <w:rPr>
            <w:rStyle w:val="a4"/>
            <w:lang w:val="en-US"/>
          </w:rPr>
          <w:t>ru</w:t>
        </w:r>
      </w:hyperlink>
    </w:p>
    <w:p w:rsidR="00E16C06" w:rsidRPr="00E16C06" w:rsidRDefault="00E16C06" w:rsidP="00E16C06">
      <w:pPr>
        <w:pStyle w:val="a3"/>
        <w:spacing w:before="0" w:beforeAutospacing="0" w:after="0" w:afterAutospacing="0"/>
        <w:rPr>
          <w:color w:val="000000"/>
          <w:sz w:val="27"/>
          <w:szCs w:val="27"/>
        </w:rPr>
      </w:pPr>
    </w:p>
    <w:p w:rsidR="008A41F9" w:rsidRPr="00DC3CA8" w:rsidRDefault="00EB118D" w:rsidP="008A41F9">
      <w:pPr>
        <w:pStyle w:val="a3"/>
        <w:jc w:val="both"/>
        <w:rPr>
          <w:color w:val="000000"/>
        </w:rPr>
      </w:pPr>
      <w:r w:rsidRPr="00DC3CA8">
        <w:rPr>
          <w:color w:val="000000"/>
        </w:rPr>
        <w:t xml:space="preserve">Статья посвящается </w:t>
      </w:r>
      <w:r w:rsidR="008A41F9" w:rsidRPr="00DC3CA8">
        <w:rPr>
          <w:color w:val="000000"/>
        </w:rPr>
        <w:t>проблем развития</w:t>
      </w:r>
      <w:r w:rsidRPr="00DC3CA8">
        <w:rPr>
          <w:color w:val="000000"/>
        </w:rPr>
        <w:t xml:space="preserve"> </w:t>
      </w:r>
      <w:r w:rsidR="008A41F9" w:rsidRPr="00DC3CA8">
        <w:rPr>
          <w:color w:val="000000"/>
        </w:rPr>
        <w:t>страхования рисков при производстве строительно-монтажных работ</w:t>
      </w:r>
      <w:r w:rsidRPr="00DC3CA8">
        <w:rPr>
          <w:color w:val="000000"/>
        </w:rPr>
        <w:t xml:space="preserve">. </w:t>
      </w:r>
      <w:r w:rsidR="008A41F9" w:rsidRPr="00DC3CA8">
        <w:rPr>
          <w:color w:val="000000"/>
        </w:rPr>
        <w:t>Рассмотрены требования к страхованию участников строительного процесса, параметры и условия данного страхования, виды страхования строительно-монтажных рисков на этапах реализации строительного проекта.</w:t>
      </w:r>
    </w:p>
    <w:p w:rsidR="004538F1" w:rsidRPr="00DC3CA8" w:rsidRDefault="004538F1" w:rsidP="004538F1">
      <w:pPr>
        <w:pStyle w:val="a3"/>
        <w:jc w:val="both"/>
        <w:rPr>
          <w:color w:val="000000"/>
          <w:lang w:val="en-US"/>
        </w:rPr>
      </w:pPr>
      <w:r w:rsidRPr="00DC3CA8">
        <w:rPr>
          <w:color w:val="000000"/>
          <w:lang w:val="en"/>
        </w:rPr>
        <w:t>The article is devoted to the problems of development of risk insurance during the construction and installation works. The requirements for insurance of participants in the construction process, the parameters and conditions of this insurance, the types of insurance of construction risks at the stages of the construction project are considered.</w:t>
      </w:r>
    </w:p>
    <w:p w:rsidR="00DC3CA8" w:rsidRPr="00DC3CA8" w:rsidRDefault="00EB118D" w:rsidP="00E16C06">
      <w:pPr>
        <w:pStyle w:val="a3"/>
        <w:jc w:val="both"/>
        <w:rPr>
          <w:rStyle w:val="hl"/>
          <w:rFonts w:eastAsiaTheme="majorEastAsia"/>
          <w:color w:val="000000"/>
          <w:bdr w:val="none" w:sz="0" w:space="0" w:color="auto" w:frame="1"/>
          <w:lang w:val="en-US"/>
        </w:rPr>
      </w:pPr>
      <w:r w:rsidRPr="00DC3CA8">
        <w:rPr>
          <w:i/>
          <w:color w:val="000000"/>
        </w:rPr>
        <w:t>Ключевые</w:t>
      </w:r>
      <w:r w:rsidRPr="00DC3CA8">
        <w:rPr>
          <w:i/>
          <w:color w:val="000000"/>
          <w:lang w:val="en-US"/>
        </w:rPr>
        <w:t xml:space="preserve"> </w:t>
      </w:r>
      <w:r w:rsidRPr="00DC3CA8">
        <w:rPr>
          <w:i/>
          <w:color w:val="000000"/>
        </w:rPr>
        <w:t>слова</w:t>
      </w:r>
      <w:r w:rsidRPr="00DC3CA8">
        <w:rPr>
          <w:color w:val="000000"/>
          <w:lang w:val="en-US"/>
        </w:rPr>
        <w:t xml:space="preserve">: </w:t>
      </w:r>
      <w:r w:rsidR="008A41F9" w:rsidRPr="00DC3CA8">
        <w:rPr>
          <w:rStyle w:val="hl"/>
          <w:rFonts w:eastAsiaTheme="majorEastAsia"/>
          <w:color w:val="000000"/>
          <w:bdr w:val="none" w:sz="0" w:space="0" w:color="auto" w:frame="1"/>
        </w:rPr>
        <w:t>страхование</w:t>
      </w:r>
      <w:r w:rsidR="00DC3CA8" w:rsidRPr="00DC3CA8">
        <w:rPr>
          <w:color w:val="000000"/>
          <w:lang w:val="en-US"/>
        </w:rPr>
        <w:t>,</w:t>
      </w:r>
      <w:r w:rsidR="008A41F9" w:rsidRPr="00DC3CA8">
        <w:rPr>
          <w:color w:val="000000"/>
          <w:lang w:val="en-US"/>
        </w:rPr>
        <w:t> </w:t>
      </w:r>
      <w:proofErr w:type="spellStart"/>
      <w:r w:rsidR="008A41F9" w:rsidRPr="00DC3CA8">
        <w:rPr>
          <w:rStyle w:val="hl"/>
          <w:rFonts w:eastAsiaTheme="majorEastAsia"/>
          <w:color w:val="000000"/>
          <w:bdr w:val="none" w:sz="0" w:space="0" w:color="auto" w:frame="1"/>
        </w:rPr>
        <w:t>строительно</w:t>
      </w:r>
      <w:proofErr w:type="spellEnd"/>
      <w:r w:rsidR="008A41F9" w:rsidRPr="00DC3CA8">
        <w:rPr>
          <w:rStyle w:val="hl"/>
          <w:rFonts w:eastAsiaTheme="majorEastAsia"/>
          <w:color w:val="000000"/>
          <w:bdr w:val="none" w:sz="0" w:space="0" w:color="auto" w:frame="1"/>
          <w:lang w:val="en-US"/>
        </w:rPr>
        <w:t>-</w:t>
      </w:r>
      <w:r w:rsidR="008A41F9" w:rsidRPr="00DC3CA8">
        <w:rPr>
          <w:rStyle w:val="hl"/>
          <w:rFonts w:eastAsiaTheme="majorEastAsia"/>
          <w:color w:val="000000"/>
          <w:bdr w:val="none" w:sz="0" w:space="0" w:color="auto" w:frame="1"/>
        </w:rPr>
        <w:t>монтажные</w:t>
      </w:r>
      <w:r w:rsidR="008A41F9" w:rsidRPr="00DC3CA8">
        <w:rPr>
          <w:rStyle w:val="hl"/>
          <w:rFonts w:eastAsiaTheme="majorEastAsia"/>
          <w:color w:val="000000"/>
          <w:bdr w:val="none" w:sz="0" w:space="0" w:color="auto" w:frame="1"/>
          <w:lang w:val="en-US"/>
        </w:rPr>
        <w:t xml:space="preserve"> </w:t>
      </w:r>
      <w:r w:rsidR="008A41F9" w:rsidRPr="00DC3CA8">
        <w:rPr>
          <w:rStyle w:val="hl"/>
          <w:rFonts w:eastAsiaTheme="majorEastAsia"/>
          <w:color w:val="000000"/>
          <w:bdr w:val="none" w:sz="0" w:space="0" w:color="auto" w:frame="1"/>
        </w:rPr>
        <w:t>риски</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rPr>
        <w:t>участники</w:t>
      </w:r>
      <w:r w:rsidR="008A41F9" w:rsidRPr="00DC3CA8">
        <w:rPr>
          <w:rStyle w:val="hl"/>
          <w:rFonts w:eastAsiaTheme="majorEastAsia"/>
          <w:color w:val="000000"/>
          <w:bdr w:val="none" w:sz="0" w:space="0" w:color="auto" w:frame="1"/>
          <w:lang w:val="en-US"/>
        </w:rPr>
        <w:t xml:space="preserve"> </w:t>
      </w:r>
      <w:r w:rsidR="008A41F9" w:rsidRPr="00DC3CA8">
        <w:rPr>
          <w:rStyle w:val="hl"/>
          <w:rFonts w:eastAsiaTheme="majorEastAsia"/>
          <w:color w:val="000000"/>
          <w:bdr w:val="none" w:sz="0" w:space="0" w:color="auto" w:frame="1"/>
        </w:rPr>
        <w:t>строительства</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rPr>
        <w:t>строительное</w:t>
      </w:r>
      <w:r w:rsidR="008A41F9" w:rsidRPr="00DC3CA8">
        <w:rPr>
          <w:rStyle w:val="hl"/>
          <w:rFonts w:eastAsiaTheme="majorEastAsia"/>
          <w:color w:val="000000"/>
          <w:bdr w:val="none" w:sz="0" w:space="0" w:color="auto" w:frame="1"/>
          <w:lang w:val="en-US"/>
        </w:rPr>
        <w:t xml:space="preserve"> </w:t>
      </w:r>
      <w:r w:rsidR="008A41F9" w:rsidRPr="00DC3CA8">
        <w:rPr>
          <w:rStyle w:val="hl"/>
          <w:rFonts w:eastAsiaTheme="majorEastAsia"/>
          <w:color w:val="000000"/>
          <w:bdr w:val="none" w:sz="0" w:space="0" w:color="auto" w:frame="1"/>
        </w:rPr>
        <w:t>предприятие</w:t>
      </w:r>
      <w:r w:rsidR="00DC3CA8" w:rsidRPr="00DC3CA8">
        <w:rPr>
          <w:rStyle w:val="hl"/>
          <w:rFonts w:eastAsiaTheme="majorEastAsia"/>
          <w:color w:val="000000"/>
          <w:bdr w:val="none" w:sz="0" w:space="0" w:color="auto" w:frame="1"/>
          <w:lang w:val="en-US"/>
        </w:rPr>
        <w:t>,</w:t>
      </w:r>
      <w:r w:rsidR="00DC3CA8" w:rsidRPr="00DC3CA8">
        <w:rPr>
          <w:color w:val="000000"/>
          <w:lang w:val="en-US"/>
        </w:rPr>
        <w:t xml:space="preserve"> </w:t>
      </w:r>
      <w:r w:rsidR="008A41F9" w:rsidRPr="00DC3CA8">
        <w:rPr>
          <w:rStyle w:val="hl"/>
          <w:rFonts w:eastAsiaTheme="majorEastAsia"/>
          <w:color w:val="000000"/>
          <w:bdr w:val="none" w:sz="0" w:space="0" w:color="auto" w:frame="1"/>
        </w:rPr>
        <w:t>имущество</w:t>
      </w:r>
      <w:r w:rsidR="00DC3CA8" w:rsidRPr="00DC3CA8">
        <w:rPr>
          <w:rStyle w:val="hl"/>
          <w:rFonts w:eastAsiaTheme="majorEastAsia"/>
          <w:color w:val="000000"/>
          <w:bdr w:val="none" w:sz="0" w:space="0" w:color="auto" w:frame="1"/>
          <w:lang w:val="en-US"/>
        </w:rPr>
        <w:t>,</w:t>
      </w:r>
      <w:r w:rsidR="00E16C06" w:rsidRPr="00DC3CA8">
        <w:rPr>
          <w:color w:val="000000"/>
          <w:lang w:val="en-US"/>
        </w:rPr>
        <w:t> </w:t>
      </w:r>
      <w:r w:rsidR="008A41F9" w:rsidRPr="00DC3CA8">
        <w:rPr>
          <w:rStyle w:val="hl"/>
          <w:rFonts w:eastAsiaTheme="majorEastAsia"/>
          <w:color w:val="000000"/>
          <w:bdr w:val="none" w:sz="0" w:space="0" w:color="auto" w:frame="1"/>
        </w:rPr>
        <w:t>объекты</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rPr>
        <w:t>страховая</w:t>
      </w:r>
      <w:r w:rsidR="008A41F9" w:rsidRPr="00DC3CA8">
        <w:rPr>
          <w:rStyle w:val="hl"/>
          <w:rFonts w:eastAsiaTheme="majorEastAsia"/>
          <w:color w:val="000000"/>
          <w:bdr w:val="none" w:sz="0" w:space="0" w:color="auto" w:frame="1"/>
          <w:lang w:val="en-US"/>
        </w:rPr>
        <w:t xml:space="preserve"> </w:t>
      </w:r>
      <w:r w:rsidR="008A41F9" w:rsidRPr="00DC3CA8">
        <w:rPr>
          <w:rStyle w:val="hl"/>
          <w:rFonts w:eastAsiaTheme="majorEastAsia"/>
          <w:color w:val="000000"/>
          <w:bdr w:val="none" w:sz="0" w:space="0" w:color="auto" w:frame="1"/>
        </w:rPr>
        <w:t>премия</w:t>
      </w:r>
      <w:r w:rsidR="00DC3CA8" w:rsidRPr="00DC3CA8">
        <w:rPr>
          <w:color w:val="000000"/>
          <w:lang w:val="en-US"/>
        </w:rPr>
        <w:t>,</w:t>
      </w:r>
      <w:r w:rsidR="00E16C06" w:rsidRPr="00DC3CA8">
        <w:rPr>
          <w:color w:val="000000"/>
          <w:lang w:val="en-US"/>
        </w:rPr>
        <w:t xml:space="preserve"> </w:t>
      </w:r>
      <w:r w:rsidR="008A41F9" w:rsidRPr="00DC3CA8">
        <w:rPr>
          <w:color w:val="000000"/>
          <w:lang w:val="en-US"/>
        </w:rPr>
        <w:t> </w:t>
      </w:r>
      <w:r w:rsidR="008A41F9" w:rsidRPr="00DC3CA8">
        <w:rPr>
          <w:rStyle w:val="hl"/>
          <w:rFonts w:eastAsiaTheme="majorEastAsia"/>
          <w:color w:val="000000"/>
          <w:bdr w:val="none" w:sz="0" w:space="0" w:color="auto" w:frame="1"/>
          <w:lang w:val="en-US"/>
        </w:rPr>
        <w:t>insurance</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lang w:val="en-US"/>
        </w:rPr>
        <w:t>development and fitting risks</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lang w:val="en-US"/>
        </w:rPr>
        <w:t>participants of development</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lang w:val="en-US"/>
        </w:rPr>
        <w:t>development company</w:t>
      </w:r>
      <w:r w:rsidR="00DC3CA8" w:rsidRPr="00DC3CA8">
        <w:rPr>
          <w:color w:val="000000"/>
          <w:lang w:val="en-US"/>
        </w:rPr>
        <w:t>,</w:t>
      </w:r>
      <w:r w:rsidR="008A41F9" w:rsidRPr="00DC3CA8">
        <w:rPr>
          <w:color w:val="000000"/>
          <w:lang w:val="en-US"/>
        </w:rPr>
        <w:t> </w:t>
      </w:r>
      <w:r w:rsidR="008A41F9" w:rsidRPr="00DC3CA8">
        <w:rPr>
          <w:rStyle w:val="hl"/>
          <w:rFonts w:eastAsiaTheme="majorEastAsia"/>
          <w:color w:val="000000"/>
          <w:bdr w:val="none" w:sz="0" w:space="0" w:color="auto" w:frame="1"/>
          <w:lang w:val="en-US"/>
        </w:rPr>
        <w:t>property</w:t>
      </w:r>
      <w:r w:rsidR="00DC3CA8" w:rsidRPr="00DC3CA8">
        <w:rPr>
          <w:color w:val="000000"/>
          <w:lang w:val="en-US"/>
        </w:rPr>
        <w:t>,</w:t>
      </w:r>
      <w:r w:rsidR="00E16C06" w:rsidRPr="00DC3CA8">
        <w:rPr>
          <w:color w:val="000000"/>
          <w:lang w:val="en-US"/>
        </w:rPr>
        <w:t xml:space="preserve"> </w:t>
      </w:r>
      <w:r w:rsidR="008A41F9" w:rsidRPr="00DC3CA8">
        <w:rPr>
          <w:rStyle w:val="hl"/>
          <w:rFonts w:eastAsiaTheme="majorEastAsia"/>
          <w:color w:val="000000"/>
          <w:bdr w:val="none" w:sz="0" w:space="0" w:color="auto" w:frame="1"/>
          <w:lang w:val="en-US"/>
        </w:rPr>
        <w:t>objects</w:t>
      </w:r>
      <w:r w:rsidR="00DC3CA8" w:rsidRPr="00DC3CA8">
        <w:rPr>
          <w:color w:val="000000"/>
          <w:lang w:val="en-US"/>
        </w:rPr>
        <w:t>,</w:t>
      </w:r>
      <w:r w:rsidR="00E16C06" w:rsidRPr="00DC3CA8">
        <w:rPr>
          <w:color w:val="000000"/>
          <w:lang w:val="en-US"/>
        </w:rPr>
        <w:t xml:space="preserve"> </w:t>
      </w:r>
      <w:r w:rsidR="008A41F9" w:rsidRPr="00DC3CA8">
        <w:rPr>
          <w:color w:val="000000"/>
          <w:lang w:val="en-US"/>
        </w:rPr>
        <w:t> </w:t>
      </w:r>
      <w:r w:rsidR="008A41F9" w:rsidRPr="00DC3CA8">
        <w:rPr>
          <w:rStyle w:val="hl"/>
          <w:rFonts w:eastAsiaTheme="majorEastAsia"/>
          <w:color w:val="000000"/>
          <w:bdr w:val="none" w:sz="0" w:space="0" w:color="auto" w:frame="1"/>
          <w:lang w:val="en-US"/>
        </w:rPr>
        <w:t>insurance award</w:t>
      </w:r>
      <w:r w:rsidR="00DC3CA8" w:rsidRPr="00DC3CA8">
        <w:rPr>
          <w:rStyle w:val="hl"/>
          <w:rFonts w:eastAsiaTheme="majorEastAsia"/>
          <w:color w:val="000000"/>
          <w:bdr w:val="none" w:sz="0" w:space="0" w:color="auto" w:frame="1"/>
          <w:lang w:val="en-US"/>
        </w:rPr>
        <w:t>.</w:t>
      </w:r>
    </w:p>
    <w:p w:rsidR="00EB118D" w:rsidRPr="00DC3CA8" w:rsidRDefault="00EB118D" w:rsidP="00E16C06">
      <w:pPr>
        <w:pStyle w:val="a3"/>
        <w:jc w:val="both"/>
        <w:rPr>
          <w:color w:val="000000"/>
          <w:sz w:val="28"/>
          <w:szCs w:val="28"/>
          <w:lang w:val="en-US"/>
        </w:rPr>
      </w:pPr>
      <w:r w:rsidRPr="00DC3CA8">
        <w:rPr>
          <w:color w:val="000000"/>
          <w:sz w:val="28"/>
          <w:szCs w:val="28"/>
        </w:rPr>
        <w:t>Текст</w:t>
      </w:r>
      <w:r w:rsidRPr="00DC3CA8">
        <w:rPr>
          <w:color w:val="000000"/>
          <w:sz w:val="28"/>
          <w:szCs w:val="28"/>
          <w:lang w:val="en-US"/>
        </w:rPr>
        <w:t xml:space="preserve"> </w:t>
      </w:r>
      <w:r w:rsidRPr="00DC3CA8">
        <w:rPr>
          <w:color w:val="000000"/>
          <w:sz w:val="28"/>
          <w:szCs w:val="28"/>
        </w:rPr>
        <w:t>статьи</w:t>
      </w:r>
      <w:r w:rsidRPr="00DC3CA8">
        <w:rPr>
          <w:color w:val="000000"/>
          <w:sz w:val="28"/>
          <w:szCs w:val="28"/>
          <w:lang w:val="en-US"/>
        </w:rPr>
        <w:t>……….</w:t>
      </w:r>
    </w:p>
    <w:p w:rsidR="00E16C06" w:rsidRDefault="00755A3A" w:rsidP="00EB118D">
      <w:pPr>
        <w:pStyle w:val="a3"/>
        <w:rPr>
          <w:color w:val="000000"/>
          <w:sz w:val="27"/>
          <w:szCs w:val="27"/>
        </w:rPr>
      </w:pPr>
      <w:r>
        <w:rPr>
          <w:noProof/>
          <w:color w:val="000000"/>
          <w:sz w:val="27"/>
          <w:szCs w:val="27"/>
        </w:rPr>
        <w:drawing>
          <wp:inline distT="0" distB="0" distL="0" distR="0">
            <wp:extent cx="5200650" cy="2343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118D" w:rsidRPr="00DC3CA8" w:rsidRDefault="00EB118D" w:rsidP="00C5075C">
      <w:pPr>
        <w:pStyle w:val="a3"/>
        <w:jc w:val="center"/>
        <w:rPr>
          <w:color w:val="000000"/>
          <w:sz w:val="28"/>
          <w:szCs w:val="28"/>
        </w:rPr>
      </w:pPr>
      <w:r w:rsidRPr="00DC3CA8">
        <w:rPr>
          <w:i/>
          <w:color w:val="000000"/>
          <w:sz w:val="28"/>
          <w:szCs w:val="28"/>
        </w:rPr>
        <w:t>Рис. 1.</w:t>
      </w:r>
      <w:r w:rsidRPr="00DC3CA8">
        <w:rPr>
          <w:color w:val="000000"/>
          <w:sz w:val="28"/>
          <w:szCs w:val="28"/>
        </w:rPr>
        <w:t xml:space="preserve"> </w:t>
      </w:r>
      <w:r w:rsidR="00E16C06" w:rsidRPr="00DC3CA8">
        <w:rPr>
          <w:color w:val="000000"/>
          <w:sz w:val="28"/>
          <w:szCs w:val="28"/>
        </w:rPr>
        <w:t>Основные причины ущербов</w:t>
      </w:r>
    </w:p>
    <w:p w:rsidR="00EB118D" w:rsidRPr="00DC3CA8" w:rsidRDefault="00EB118D" w:rsidP="00C5075C">
      <w:pPr>
        <w:pStyle w:val="a3"/>
        <w:spacing w:before="0" w:beforeAutospacing="0" w:after="0" w:afterAutospacing="0"/>
        <w:jc w:val="right"/>
        <w:rPr>
          <w:color w:val="000000"/>
          <w:sz w:val="28"/>
          <w:szCs w:val="28"/>
        </w:rPr>
      </w:pPr>
      <w:r w:rsidRPr="00DC3CA8">
        <w:rPr>
          <w:color w:val="000000"/>
          <w:sz w:val="28"/>
          <w:szCs w:val="28"/>
        </w:rPr>
        <w:lastRenderedPageBreak/>
        <w:t>Таблица 1</w:t>
      </w:r>
    </w:p>
    <w:p w:rsidR="00EB118D" w:rsidRPr="00DC3CA8" w:rsidRDefault="00C5075C" w:rsidP="00C5075C">
      <w:pPr>
        <w:pStyle w:val="a3"/>
        <w:spacing w:before="0" w:beforeAutospacing="0" w:after="0" w:afterAutospacing="0"/>
        <w:jc w:val="center"/>
        <w:rPr>
          <w:b/>
          <w:color w:val="000000"/>
          <w:sz w:val="28"/>
          <w:szCs w:val="28"/>
        </w:rPr>
      </w:pPr>
      <w:r w:rsidRPr="00DC3CA8">
        <w:rPr>
          <w:b/>
          <w:color w:val="000000"/>
          <w:sz w:val="28"/>
          <w:szCs w:val="28"/>
        </w:rPr>
        <w:t>Динамика страхования рисков СМР</w:t>
      </w:r>
      <w:r w:rsidR="00EB118D" w:rsidRPr="00DC3CA8">
        <w:rPr>
          <w:b/>
          <w:color w:val="000000"/>
          <w:sz w:val="28"/>
          <w:szCs w:val="28"/>
        </w:rPr>
        <w:t>, в % к предыдущему году</w:t>
      </w:r>
    </w:p>
    <w:p w:rsidR="004538F1" w:rsidRPr="00DC3CA8" w:rsidRDefault="004538F1" w:rsidP="00C5075C">
      <w:pPr>
        <w:pStyle w:val="a3"/>
        <w:spacing w:before="0" w:beforeAutospacing="0" w:after="0" w:afterAutospacing="0"/>
        <w:jc w:val="center"/>
        <w:rPr>
          <w:b/>
          <w:color w:val="000000"/>
          <w:sz w:val="28"/>
          <w:szCs w:val="28"/>
        </w:rPr>
      </w:pPr>
    </w:p>
    <w:tbl>
      <w:tblPr>
        <w:tblStyle w:val="a7"/>
        <w:tblW w:w="0" w:type="auto"/>
        <w:tblLook w:val="04A0" w:firstRow="1" w:lastRow="0" w:firstColumn="1" w:lastColumn="0" w:noHBand="0" w:noVBand="1"/>
      </w:tblPr>
      <w:tblGrid>
        <w:gridCol w:w="1870"/>
        <w:gridCol w:w="1870"/>
        <w:gridCol w:w="1870"/>
        <w:gridCol w:w="1867"/>
        <w:gridCol w:w="1868"/>
      </w:tblGrid>
      <w:tr w:rsidR="00C5075C" w:rsidRPr="00DC3CA8" w:rsidTr="00C5075C">
        <w:tc>
          <w:tcPr>
            <w:tcW w:w="1914" w:type="dxa"/>
          </w:tcPr>
          <w:p w:rsidR="00C5075C" w:rsidRPr="00DC3CA8" w:rsidRDefault="00C5075C" w:rsidP="004538F1">
            <w:pPr>
              <w:pStyle w:val="a3"/>
              <w:rPr>
                <w:color w:val="000000"/>
                <w:sz w:val="28"/>
                <w:szCs w:val="28"/>
              </w:rPr>
            </w:pPr>
            <w:r w:rsidRPr="00DC3CA8">
              <w:rPr>
                <w:color w:val="000000"/>
                <w:sz w:val="28"/>
                <w:szCs w:val="28"/>
              </w:rPr>
              <w:t xml:space="preserve">Годы </w:t>
            </w:r>
          </w:p>
        </w:tc>
        <w:tc>
          <w:tcPr>
            <w:tcW w:w="1914" w:type="dxa"/>
          </w:tcPr>
          <w:p w:rsidR="00C5075C" w:rsidRPr="00DC3CA8" w:rsidRDefault="00C5075C" w:rsidP="00C5075C">
            <w:pPr>
              <w:pStyle w:val="a3"/>
              <w:rPr>
                <w:color w:val="000000"/>
                <w:sz w:val="28"/>
                <w:szCs w:val="28"/>
              </w:rPr>
            </w:pPr>
            <w:r w:rsidRPr="00DC3CA8">
              <w:rPr>
                <w:color w:val="000000"/>
                <w:sz w:val="28"/>
                <w:szCs w:val="28"/>
              </w:rPr>
              <w:t>2015</w:t>
            </w:r>
          </w:p>
        </w:tc>
        <w:tc>
          <w:tcPr>
            <w:tcW w:w="1914" w:type="dxa"/>
          </w:tcPr>
          <w:p w:rsidR="00C5075C" w:rsidRPr="00DC3CA8" w:rsidRDefault="00C5075C" w:rsidP="00C5075C">
            <w:pPr>
              <w:pStyle w:val="a3"/>
              <w:rPr>
                <w:color w:val="000000"/>
                <w:sz w:val="28"/>
                <w:szCs w:val="28"/>
              </w:rPr>
            </w:pPr>
            <w:r w:rsidRPr="00DC3CA8">
              <w:rPr>
                <w:color w:val="000000"/>
                <w:sz w:val="28"/>
                <w:szCs w:val="28"/>
              </w:rPr>
              <w:t>2016</w:t>
            </w:r>
          </w:p>
        </w:tc>
        <w:tc>
          <w:tcPr>
            <w:tcW w:w="1914" w:type="dxa"/>
          </w:tcPr>
          <w:p w:rsidR="00C5075C" w:rsidRPr="00DC3CA8" w:rsidRDefault="00C5075C" w:rsidP="00C5075C">
            <w:pPr>
              <w:pStyle w:val="a3"/>
              <w:rPr>
                <w:color w:val="000000"/>
                <w:sz w:val="28"/>
                <w:szCs w:val="28"/>
              </w:rPr>
            </w:pPr>
            <w:r w:rsidRPr="00DC3CA8">
              <w:rPr>
                <w:color w:val="000000"/>
                <w:sz w:val="28"/>
                <w:szCs w:val="28"/>
              </w:rPr>
              <w:t>2017</w:t>
            </w:r>
          </w:p>
        </w:tc>
        <w:tc>
          <w:tcPr>
            <w:tcW w:w="1915" w:type="dxa"/>
          </w:tcPr>
          <w:p w:rsidR="00C5075C" w:rsidRPr="00DC3CA8" w:rsidRDefault="00C5075C" w:rsidP="00006D59">
            <w:pPr>
              <w:pStyle w:val="a3"/>
              <w:rPr>
                <w:color w:val="000000"/>
                <w:sz w:val="28"/>
                <w:szCs w:val="28"/>
              </w:rPr>
            </w:pPr>
            <w:r w:rsidRPr="00DC3CA8">
              <w:rPr>
                <w:color w:val="000000"/>
                <w:sz w:val="28"/>
                <w:szCs w:val="28"/>
              </w:rPr>
              <w:t>2018</w:t>
            </w:r>
          </w:p>
        </w:tc>
      </w:tr>
      <w:tr w:rsidR="00C5075C" w:rsidRPr="00DC3CA8" w:rsidTr="00C5075C">
        <w:tc>
          <w:tcPr>
            <w:tcW w:w="1914" w:type="dxa"/>
          </w:tcPr>
          <w:p w:rsidR="00C5075C" w:rsidRPr="00DC3CA8" w:rsidRDefault="00C5075C" w:rsidP="00006D59">
            <w:pPr>
              <w:pStyle w:val="a3"/>
              <w:rPr>
                <w:color w:val="000000"/>
                <w:sz w:val="28"/>
                <w:szCs w:val="28"/>
              </w:rPr>
            </w:pPr>
            <w:r w:rsidRPr="00DC3CA8">
              <w:rPr>
                <w:color w:val="000000"/>
                <w:sz w:val="28"/>
                <w:szCs w:val="28"/>
              </w:rPr>
              <w:t>%</w:t>
            </w:r>
          </w:p>
        </w:tc>
        <w:tc>
          <w:tcPr>
            <w:tcW w:w="1914" w:type="dxa"/>
          </w:tcPr>
          <w:p w:rsidR="00C5075C" w:rsidRPr="00DC3CA8" w:rsidRDefault="00C5075C" w:rsidP="004538F1">
            <w:pPr>
              <w:pStyle w:val="a3"/>
              <w:rPr>
                <w:color w:val="000000"/>
                <w:sz w:val="28"/>
                <w:szCs w:val="28"/>
              </w:rPr>
            </w:pPr>
            <w:r w:rsidRPr="00DC3CA8">
              <w:rPr>
                <w:color w:val="000000"/>
                <w:sz w:val="28"/>
                <w:szCs w:val="28"/>
              </w:rPr>
              <w:t>11</w:t>
            </w:r>
            <w:r w:rsidR="004538F1" w:rsidRPr="00DC3CA8">
              <w:rPr>
                <w:color w:val="000000"/>
                <w:sz w:val="28"/>
                <w:szCs w:val="28"/>
              </w:rPr>
              <w:t>0</w:t>
            </w:r>
            <w:r w:rsidRPr="00DC3CA8">
              <w:rPr>
                <w:color w:val="000000"/>
                <w:sz w:val="28"/>
                <w:szCs w:val="28"/>
              </w:rPr>
              <w:t>,8</w:t>
            </w:r>
          </w:p>
        </w:tc>
        <w:tc>
          <w:tcPr>
            <w:tcW w:w="1914" w:type="dxa"/>
          </w:tcPr>
          <w:p w:rsidR="00C5075C" w:rsidRPr="00DC3CA8" w:rsidRDefault="00C5075C" w:rsidP="004538F1">
            <w:pPr>
              <w:pStyle w:val="a3"/>
              <w:rPr>
                <w:color w:val="000000"/>
                <w:sz w:val="28"/>
                <w:szCs w:val="28"/>
              </w:rPr>
            </w:pPr>
            <w:r w:rsidRPr="00DC3CA8">
              <w:rPr>
                <w:color w:val="000000"/>
                <w:sz w:val="28"/>
                <w:szCs w:val="28"/>
              </w:rPr>
              <w:t>1</w:t>
            </w:r>
            <w:r w:rsidR="004538F1" w:rsidRPr="00DC3CA8">
              <w:rPr>
                <w:color w:val="000000"/>
                <w:sz w:val="28"/>
                <w:szCs w:val="28"/>
              </w:rPr>
              <w:t>0</w:t>
            </w:r>
            <w:r w:rsidRPr="00DC3CA8">
              <w:rPr>
                <w:color w:val="000000"/>
                <w:sz w:val="28"/>
                <w:szCs w:val="28"/>
              </w:rPr>
              <w:t>4,</w:t>
            </w:r>
            <w:r w:rsidR="004538F1" w:rsidRPr="00DC3CA8">
              <w:rPr>
                <w:color w:val="000000"/>
                <w:sz w:val="28"/>
                <w:szCs w:val="28"/>
              </w:rPr>
              <w:t>2</w:t>
            </w:r>
          </w:p>
        </w:tc>
        <w:tc>
          <w:tcPr>
            <w:tcW w:w="1914" w:type="dxa"/>
          </w:tcPr>
          <w:p w:rsidR="00C5075C" w:rsidRPr="00DC3CA8" w:rsidRDefault="004538F1" w:rsidP="004538F1">
            <w:pPr>
              <w:pStyle w:val="a3"/>
              <w:rPr>
                <w:color w:val="000000"/>
                <w:sz w:val="28"/>
                <w:szCs w:val="28"/>
              </w:rPr>
            </w:pPr>
            <w:r w:rsidRPr="00DC3CA8">
              <w:rPr>
                <w:color w:val="000000"/>
                <w:sz w:val="28"/>
                <w:szCs w:val="28"/>
              </w:rPr>
              <w:t>85,3</w:t>
            </w:r>
          </w:p>
        </w:tc>
        <w:tc>
          <w:tcPr>
            <w:tcW w:w="1915" w:type="dxa"/>
          </w:tcPr>
          <w:p w:rsidR="00C5075C" w:rsidRPr="00DC3CA8" w:rsidRDefault="004538F1" w:rsidP="004538F1">
            <w:pPr>
              <w:pStyle w:val="a3"/>
              <w:rPr>
                <w:color w:val="000000"/>
                <w:sz w:val="28"/>
                <w:szCs w:val="28"/>
              </w:rPr>
            </w:pPr>
            <w:r w:rsidRPr="00DC3CA8">
              <w:rPr>
                <w:color w:val="000000"/>
                <w:sz w:val="28"/>
                <w:szCs w:val="28"/>
              </w:rPr>
              <w:t>81,2</w:t>
            </w:r>
          </w:p>
        </w:tc>
      </w:tr>
    </w:tbl>
    <w:p w:rsidR="00EB118D" w:rsidRPr="004538F1" w:rsidRDefault="00EB118D" w:rsidP="004538F1">
      <w:pPr>
        <w:pStyle w:val="a3"/>
        <w:spacing w:line="276" w:lineRule="auto"/>
        <w:jc w:val="center"/>
        <w:rPr>
          <w:b/>
          <w:color w:val="000000"/>
          <w:sz w:val="27"/>
          <w:szCs w:val="27"/>
        </w:rPr>
      </w:pPr>
      <w:r w:rsidRPr="004538F1">
        <w:rPr>
          <w:b/>
          <w:color w:val="000000"/>
          <w:sz w:val="27"/>
          <w:szCs w:val="27"/>
        </w:rPr>
        <w:t>СПИСОК ИСПОЛЬЗОВАННОЙ ЛИТЕРАТУРЫ</w:t>
      </w:r>
    </w:p>
    <w:p w:rsidR="00EB118D" w:rsidRDefault="00EB118D" w:rsidP="004538F1">
      <w:pPr>
        <w:pStyle w:val="a3"/>
        <w:spacing w:before="0" w:beforeAutospacing="0" w:after="0" w:afterAutospacing="0" w:line="276" w:lineRule="auto"/>
        <w:jc w:val="both"/>
        <w:rPr>
          <w:color w:val="000000"/>
          <w:sz w:val="27"/>
          <w:szCs w:val="27"/>
        </w:rPr>
      </w:pPr>
      <w:r>
        <w:rPr>
          <w:color w:val="000000"/>
          <w:sz w:val="27"/>
          <w:szCs w:val="27"/>
        </w:rPr>
        <w:t xml:space="preserve">1. Тамбовцев, В.Л. Экономическая безопасность. / В.Л. Тамбовцев. – М.: </w:t>
      </w:r>
      <w:proofErr w:type="spellStart"/>
      <w:r>
        <w:rPr>
          <w:color w:val="000000"/>
          <w:sz w:val="27"/>
          <w:szCs w:val="27"/>
        </w:rPr>
        <w:t>Хронос</w:t>
      </w:r>
      <w:proofErr w:type="spellEnd"/>
      <w:r>
        <w:rPr>
          <w:color w:val="000000"/>
          <w:sz w:val="27"/>
          <w:szCs w:val="27"/>
        </w:rPr>
        <w:t>, 2012. – 154 с.</w:t>
      </w:r>
    </w:p>
    <w:p w:rsidR="009E15D3" w:rsidRDefault="00EB118D" w:rsidP="009E15D3">
      <w:pPr>
        <w:pStyle w:val="a3"/>
        <w:spacing w:before="0" w:beforeAutospacing="0" w:after="0" w:afterAutospacing="0" w:line="276" w:lineRule="auto"/>
        <w:jc w:val="both"/>
        <w:rPr>
          <w:color w:val="000000"/>
          <w:sz w:val="27"/>
          <w:szCs w:val="27"/>
        </w:rPr>
      </w:pPr>
      <w:r>
        <w:rPr>
          <w:color w:val="000000"/>
          <w:sz w:val="27"/>
          <w:szCs w:val="27"/>
        </w:rPr>
        <w:t xml:space="preserve">2. </w:t>
      </w:r>
      <w:r w:rsidR="009E15D3">
        <w:rPr>
          <w:color w:val="000000"/>
          <w:sz w:val="27"/>
          <w:szCs w:val="27"/>
        </w:rPr>
        <w:t>Павлов А.С</w:t>
      </w:r>
      <w:r>
        <w:rPr>
          <w:color w:val="000000"/>
          <w:sz w:val="27"/>
          <w:szCs w:val="27"/>
        </w:rPr>
        <w:t xml:space="preserve">. </w:t>
      </w:r>
      <w:r w:rsidR="009E15D3">
        <w:rPr>
          <w:color w:val="000000"/>
          <w:sz w:val="27"/>
          <w:szCs w:val="27"/>
        </w:rPr>
        <w:t xml:space="preserve">Экономика строительства: </w:t>
      </w:r>
      <w:r>
        <w:rPr>
          <w:color w:val="000000"/>
          <w:sz w:val="27"/>
          <w:szCs w:val="27"/>
        </w:rPr>
        <w:t xml:space="preserve"> </w:t>
      </w:r>
      <w:r w:rsidR="009E15D3">
        <w:rPr>
          <w:color w:val="000000"/>
          <w:sz w:val="27"/>
          <w:szCs w:val="27"/>
        </w:rPr>
        <w:t xml:space="preserve">учебное пособие. – М.: </w:t>
      </w:r>
      <w:proofErr w:type="spellStart"/>
      <w:r w:rsidR="009E15D3">
        <w:rPr>
          <w:color w:val="000000"/>
          <w:sz w:val="27"/>
          <w:szCs w:val="27"/>
        </w:rPr>
        <w:t>Юрайт</w:t>
      </w:r>
      <w:proofErr w:type="spellEnd"/>
      <w:r w:rsidR="009E15D3">
        <w:rPr>
          <w:color w:val="000000"/>
          <w:sz w:val="27"/>
          <w:szCs w:val="27"/>
        </w:rPr>
        <w:t>, 2017. – 314 с.</w:t>
      </w:r>
    </w:p>
    <w:p w:rsidR="00EB118D" w:rsidRDefault="00EB118D" w:rsidP="004538F1">
      <w:pPr>
        <w:pStyle w:val="a3"/>
        <w:spacing w:before="0" w:beforeAutospacing="0" w:after="0" w:afterAutospacing="0" w:line="276" w:lineRule="auto"/>
        <w:jc w:val="both"/>
        <w:rPr>
          <w:color w:val="000000"/>
          <w:sz w:val="27"/>
          <w:szCs w:val="27"/>
        </w:rPr>
      </w:pPr>
      <w:r>
        <w:rPr>
          <w:color w:val="000000"/>
          <w:sz w:val="27"/>
          <w:szCs w:val="27"/>
        </w:rPr>
        <w:t xml:space="preserve">3. </w:t>
      </w:r>
      <w:r w:rsidR="004538F1">
        <w:rPr>
          <w:color w:val="000000"/>
          <w:sz w:val="27"/>
          <w:szCs w:val="27"/>
        </w:rPr>
        <w:t>Агентство страховых новостей</w:t>
      </w:r>
      <w:r>
        <w:rPr>
          <w:color w:val="000000"/>
          <w:sz w:val="27"/>
          <w:szCs w:val="27"/>
        </w:rPr>
        <w:t>. [Электронный ресурс]. –</w:t>
      </w:r>
    </w:p>
    <w:p w:rsidR="004538F1" w:rsidRDefault="00EB118D" w:rsidP="004538F1">
      <w:pPr>
        <w:pStyle w:val="a3"/>
        <w:spacing w:before="0" w:beforeAutospacing="0" w:after="0" w:afterAutospacing="0" w:line="276" w:lineRule="auto"/>
        <w:jc w:val="both"/>
        <w:rPr>
          <w:color w:val="000000"/>
          <w:sz w:val="27"/>
          <w:szCs w:val="27"/>
        </w:rPr>
      </w:pPr>
      <w:r>
        <w:rPr>
          <w:color w:val="000000"/>
          <w:sz w:val="27"/>
          <w:szCs w:val="27"/>
        </w:rPr>
        <w:t xml:space="preserve">Режим доступа: </w:t>
      </w:r>
      <w:hyperlink r:id="rId8" w:history="1">
        <w:r w:rsidR="004538F1" w:rsidRPr="004538F1">
          <w:rPr>
            <w:rStyle w:val="a4"/>
            <w:sz w:val="27"/>
            <w:szCs w:val="27"/>
          </w:rPr>
          <w:t>http://www.asn-news.ru/rating/company</w:t>
        </w:r>
      </w:hyperlink>
    </w:p>
    <w:p w:rsidR="00EB118D" w:rsidRDefault="00EB118D" w:rsidP="004538F1">
      <w:pPr>
        <w:pStyle w:val="a3"/>
        <w:spacing w:before="0" w:beforeAutospacing="0" w:after="0" w:afterAutospacing="0" w:line="276" w:lineRule="auto"/>
        <w:jc w:val="both"/>
        <w:rPr>
          <w:color w:val="000000"/>
          <w:sz w:val="27"/>
          <w:szCs w:val="27"/>
        </w:rPr>
      </w:pPr>
      <w:r>
        <w:rPr>
          <w:color w:val="000000"/>
          <w:sz w:val="27"/>
          <w:szCs w:val="27"/>
        </w:rPr>
        <w:t xml:space="preserve">4. </w:t>
      </w:r>
      <w:r w:rsidR="004538F1">
        <w:rPr>
          <w:color w:val="000000"/>
          <w:sz w:val="27"/>
          <w:szCs w:val="27"/>
        </w:rPr>
        <w:t>Чернова</w:t>
      </w:r>
      <w:r>
        <w:rPr>
          <w:color w:val="000000"/>
          <w:sz w:val="27"/>
          <w:szCs w:val="27"/>
        </w:rPr>
        <w:t xml:space="preserve">, </w:t>
      </w:r>
      <w:r w:rsidR="004538F1">
        <w:rPr>
          <w:color w:val="000000"/>
          <w:sz w:val="27"/>
          <w:szCs w:val="27"/>
        </w:rPr>
        <w:t>Г</w:t>
      </w:r>
      <w:r>
        <w:rPr>
          <w:color w:val="000000"/>
          <w:sz w:val="27"/>
          <w:szCs w:val="27"/>
        </w:rPr>
        <w:t>.</w:t>
      </w:r>
      <w:r w:rsidR="004538F1">
        <w:rPr>
          <w:color w:val="000000"/>
          <w:sz w:val="27"/>
          <w:szCs w:val="27"/>
        </w:rPr>
        <w:t>В</w:t>
      </w:r>
      <w:r>
        <w:rPr>
          <w:color w:val="000000"/>
          <w:sz w:val="27"/>
          <w:szCs w:val="27"/>
        </w:rPr>
        <w:t xml:space="preserve">. </w:t>
      </w:r>
      <w:r w:rsidR="004538F1">
        <w:rPr>
          <w:color w:val="000000"/>
          <w:sz w:val="27"/>
          <w:szCs w:val="27"/>
        </w:rPr>
        <w:t>Страхование и управление рисками</w:t>
      </w:r>
      <w:r>
        <w:rPr>
          <w:color w:val="000000"/>
          <w:sz w:val="27"/>
          <w:szCs w:val="27"/>
        </w:rPr>
        <w:t xml:space="preserve">: учебное пособие. – М.: </w:t>
      </w:r>
      <w:proofErr w:type="spellStart"/>
      <w:r w:rsidR="009E15D3">
        <w:rPr>
          <w:color w:val="000000"/>
          <w:sz w:val="27"/>
          <w:szCs w:val="27"/>
        </w:rPr>
        <w:t>Юрайт</w:t>
      </w:r>
      <w:proofErr w:type="spellEnd"/>
      <w:r>
        <w:rPr>
          <w:color w:val="000000"/>
          <w:sz w:val="27"/>
          <w:szCs w:val="27"/>
        </w:rPr>
        <w:t>, 201</w:t>
      </w:r>
      <w:r w:rsidR="009E15D3">
        <w:rPr>
          <w:color w:val="000000"/>
          <w:sz w:val="27"/>
          <w:szCs w:val="27"/>
        </w:rPr>
        <w:t>4</w:t>
      </w:r>
      <w:r>
        <w:rPr>
          <w:color w:val="000000"/>
          <w:sz w:val="27"/>
          <w:szCs w:val="27"/>
        </w:rPr>
        <w:t xml:space="preserve">. – </w:t>
      </w:r>
      <w:r w:rsidR="009E15D3">
        <w:rPr>
          <w:color w:val="000000"/>
          <w:sz w:val="27"/>
          <w:szCs w:val="27"/>
        </w:rPr>
        <w:t xml:space="preserve">768 </w:t>
      </w:r>
      <w:r>
        <w:rPr>
          <w:color w:val="000000"/>
          <w:sz w:val="27"/>
          <w:szCs w:val="27"/>
        </w:rPr>
        <w:t>с.</w:t>
      </w:r>
    </w:p>
    <w:sectPr w:rsidR="00EB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14"/>
    <w:rsid w:val="00043726"/>
    <w:rsid w:val="00070B3E"/>
    <w:rsid w:val="00095D14"/>
    <w:rsid w:val="000E3453"/>
    <w:rsid w:val="001C1AFF"/>
    <w:rsid w:val="00265A33"/>
    <w:rsid w:val="00276F0C"/>
    <w:rsid w:val="004538F1"/>
    <w:rsid w:val="004E00BF"/>
    <w:rsid w:val="005108B9"/>
    <w:rsid w:val="00546558"/>
    <w:rsid w:val="006B3178"/>
    <w:rsid w:val="006C5014"/>
    <w:rsid w:val="006D053A"/>
    <w:rsid w:val="007041F4"/>
    <w:rsid w:val="00755A3A"/>
    <w:rsid w:val="008A41F9"/>
    <w:rsid w:val="008C60EA"/>
    <w:rsid w:val="00915333"/>
    <w:rsid w:val="009E15D3"/>
    <w:rsid w:val="00AB2F4B"/>
    <w:rsid w:val="00B16467"/>
    <w:rsid w:val="00BF2D85"/>
    <w:rsid w:val="00C5075C"/>
    <w:rsid w:val="00DC3CA8"/>
    <w:rsid w:val="00E16C06"/>
    <w:rsid w:val="00E22B71"/>
    <w:rsid w:val="00EB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8F49-1AF8-4411-B7DC-D99A1598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2F4B"/>
    <w:pPr>
      <w:keepNext/>
      <w:keepLines/>
      <w:spacing w:before="240" w:after="240" w:line="360" w:lineRule="auto"/>
      <w:ind w:left="708"/>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F4B"/>
    <w:rPr>
      <w:rFonts w:ascii="Times New Roman" w:eastAsiaTheme="majorEastAsia" w:hAnsi="Times New Roman" w:cstheme="majorBidi"/>
      <w:b/>
      <w:bCs/>
      <w:sz w:val="28"/>
      <w:szCs w:val="28"/>
    </w:rPr>
  </w:style>
  <w:style w:type="paragraph" w:styleId="a3">
    <w:name w:val="Normal (Web)"/>
    <w:basedOn w:val="a"/>
    <w:uiPriority w:val="99"/>
    <w:unhideWhenUsed/>
    <w:rsid w:val="00EB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118D"/>
    <w:rPr>
      <w:color w:val="0000FF"/>
      <w:u w:val="single"/>
    </w:rPr>
  </w:style>
  <w:style w:type="character" w:customStyle="1" w:styleId="hl">
    <w:name w:val="hl"/>
    <w:basedOn w:val="a0"/>
    <w:rsid w:val="008A41F9"/>
  </w:style>
  <w:style w:type="paragraph" w:styleId="a5">
    <w:name w:val="Balloon Text"/>
    <w:basedOn w:val="a"/>
    <w:link w:val="a6"/>
    <w:uiPriority w:val="99"/>
    <w:semiHidden/>
    <w:unhideWhenUsed/>
    <w:rsid w:val="00755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A3A"/>
    <w:rPr>
      <w:rFonts w:ascii="Tahoma" w:hAnsi="Tahoma" w:cs="Tahoma"/>
      <w:sz w:val="16"/>
      <w:szCs w:val="16"/>
    </w:rPr>
  </w:style>
  <w:style w:type="table" w:styleId="a7">
    <w:name w:val="Table Grid"/>
    <w:basedOn w:val="a1"/>
    <w:uiPriority w:val="59"/>
    <w:rsid w:val="00C5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BF2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7601">
      <w:bodyDiv w:val="1"/>
      <w:marLeft w:val="0"/>
      <w:marRight w:val="0"/>
      <w:marTop w:val="0"/>
      <w:marBottom w:val="0"/>
      <w:divBdr>
        <w:top w:val="none" w:sz="0" w:space="0" w:color="auto"/>
        <w:left w:val="none" w:sz="0" w:space="0" w:color="auto"/>
        <w:bottom w:val="none" w:sz="0" w:space="0" w:color="auto"/>
        <w:right w:val="none" w:sz="0" w:space="0" w:color="auto"/>
      </w:divBdr>
    </w:div>
    <w:div w:id="1624310651">
      <w:bodyDiv w:val="1"/>
      <w:marLeft w:val="0"/>
      <w:marRight w:val="0"/>
      <w:marTop w:val="0"/>
      <w:marBottom w:val="0"/>
      <w:divBdr>
        <w:top w:val="none" w:sz="0" w:space="0" w:color="auto"/>
        <w:left w:val="none" w:sz="0" w:space="0" w:color="auto"/>
        <w:bottom w:val="none" w:sz="0" w:space="0" w:color="auto"/>
        <w:right w:val="none" w:sz="0" w:space="0" w:color="auto"/>
      </w:divBdr>
    </w:div>
    <w:div w:id="20039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news.ru/rating/company/34?type=brand"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semikova@yandex.ru" TargetMode="External"/><Relationship Id="rId5" Type="http://schemas.openxmlformats.org/officeDocument/2006/relationships/hyperlink" Target="mailto:fu.ggni@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Лист1!$A$2:$A$8</c:f>
              <c:strCache>
                <c:ptCount val="7"/>
                <c:pt idx="0">
                  <c:v>огонь</c:v>
                </c:pt>
                <c:pt idx="1">
                  <c:v>природные опасности</c:v>
                </c:pt>
                <c:pt idx="2">
                  <c:v>ошибки в проектах</c:v>
                </c:pt>
                <c:pt idx="3">
                  <c:v>ошибки людей </c:v>
                </c:pt>
                <c:pt idx="4">
                  <c:v>плохая эксплуатация</c:v>
                </c:pt>
                <c:pt idx="5">
                  <c:v>невыявленные причины</c:v>
                </c:pt>
                <c:pt idx="6">
                  <c:v>другие причины</c:v>
                </c:pt>
              </c:strCache>
            </c:strRef>
          </c:cat>
          <c:val>
            <c:numRef>
              <c:f>Лист1!$B$2:$B$8</c:f>
              <c:numCache>
                <c:formatCode>General</c:formatCode>
                <c:ptCount val="7"/>
                <c:pt idx="0">
                  <c:v>14</c:v>
                </c:pt>
                <c:pt idx="1">
                  <c:v>12</c:v>
                </c:pt>
                <c:pt idx="2">
                  <c:v>5</c:v>
                </c:pt>
                <c:pt idx="3">
                  <c:v>11</c:v>
                </c:pt>
                <c:pt idx="4">
                  <c:v>14</c:v>
                </c:pt>
                <c:pt idx="5">
                  <c:v>39</c:v>
                </c:pt>
                <c:pt idx="6">
                  <c:v>5</c:v>
                </c:pt>
              </c:numCache>
            </c:numRef>
          </c:val>
        </c:ser>
        <c:dLbls>
          <c:showLegendKey val="0"/>
          <c:showVal val="0"/>
          <c:showCatName val="0"/>
          <c:showSerName val="0"/>
          <c:showPercent val="0"/>
          <c:showBubbleSize val="0"/>
        </c:dLbls>
        <c:gapWidth val="150"/>
        <c:shape val="box"/>
        <c:axId val="419798944"/>
        <c:axId val="419799728"/>
        <c:axId val="129868104"/>
      </c:bar3DChart>
      <c:catAx>
        <c:axId val="419798944"/>
        <c:scaling>
          <c:orientation val="minMax"/>
        </c:scaling>
        <c:delete val="0"/>
        <c:axPos val="b"/>
        <c:numFmt formatCode="General" sourceLinked="0"/>
        <c:majorTickMark val="out"/>
        <c:minorTickMark val="none"/>
        <c:tickLblPos val="nextTo"/>
        <c:crossAx val="419799728"/>
        <c:crosses val="autoZero"/>
        <c:auto val="1"/>
        <c:lblAlgn val="ctr"/>
        <c:lblOffset val="100"/>
        <c:noMultiLvlLbl val="0"/>
      </c:catAx>
      <c:valAx>
        <c:axId val="419799728"/>
        <c:scaling>
          <c:orientation val="minMax"/>
        </c:scaling>
        <c:delete val="0"/>
        <c:axPos val="l"/>
        <c:majorGridlines/>
        <c:numFmt formatCode="General" sourceLinked="1"/>
        <c:majorTickMark val="out"/>
        <c:minorTickMark val="none"/>
        <c:tickLblPos val="nextTo"/>
        <c:crossAx val="419798944"/>
        <c:crosses val="autoZero"/>
        <c:crossBetween val="between"/>
      </c:valAx>
      <c:serAx>
        <c:axId val="129868104"/>
        <c:scaling>
          <c:orientation val="minMax"/>
        </c:scaling>
        <c:delete val="1"/>
        <c:axPos val="b"/>
        <c:majorTickMark val="out"/>
        <c:minorTickMark val="none"/>
        <c:tickLblPos val="nextTo"/>
        <c:crossAx val="41979972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7595-8C50-4A68-9FBF-BE3D55C6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cp:revision>
  <dcterms:created xsi:type="dcterms:W3CDTF">2019-09-12T08:50:00Z</dcterms:created>
  <dcterms:modified xsi:type="dcterms:W3CDTF">2019-09-12T08:50:00Z</dcterms:modified>
</cp:coreProperties>
</file>